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B3821" w:rsidTr="007928CB">
        <w:trPr>
          <w:trHeight w:val="450"/>
        </w:trPr>
        <w:tc>
          <w:tcPr>
            <w:tcW w:w="10800" w:type="dxa"/>
            <w:gridSpan w:val="2"/>
          </w:tcPr>
          <w:p w:rsidR="00AB3821" w:rsidRPr="00AF0190" w:rsidRDefault="000303AF" w:rsidP="000303AF">
            <w:pPr>
              <w:spacing w:after="0"/>
              <w:jc w:val="right"/>
              <w:rPr>
                <w:sz w:val="40"/>
                <w:szCs w:val="40"/>
              </w:rPr>
            </w:pPr>
            <w:r w:rsidRPr="00AF0190">
              <w:rPr>
                <w:sz w:val="40"/>
                <w:szCs w:val="40"/>
              </w:rPr>
              <w:t>Product</w:t>
            </w:r>
            <w:r w:rsidR="00AB3821" w:rsidRPr="00AF0190">
              <w:rPr>
                <w:sz w:val="40"/>
                <w:szCs w:val="40"/>
              </w:rPr>
              <w:t xml:space="preserve"> Information</w:t>
            </w:r>
          </w:p>
        </w:tc>
      </w:tr>
      <w:tr w:rsidR="00AB3821" w:rsidTr="007928CB">
        <w:trPr>
          <w:trHeight w:val="612"/>
        </w:trPr>
        <w:tc>
          <w:tcPr>
            <w:tcW w:w="10800" w:type="dxa"/>
            <w:gridSpan w:val="2"/>
            <w:vAlign w:val="center"/>
          </w:tcPr>
          <w:p w:rsidR="00AB3821" w:rsidRPr="00673CE1" w:rsidRDefault="00AC662E" w:rsidP="00F04548">
            <w:pPr>
              <w:spacing w:after="0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PC </w:t>
            </w:r>
            <w:r w:rsidR="004D7D44" w:rsidRPr="004D7D44">
              <w:rPr>
                <w:b/>
                <w:sz w:val="56"/>
                <w:szCs w:val="56"/>
              </w:rPr>
              <w:t>ANTIFOAM</w:t>
            </w:r>
            <w:r w:rsidR="00FB0410">
              <w:rPr>
                <w:b/>
                <w:sz w:val="56"/>
                <w:szCs w:val="56"/>
              </w:rPr>
              <w:t xml:space="preserve"> 208</w:t>
            </w:r>
          </w:p>
        </w:tc>
      </w:tr>
      <w:tr w:rsidR="00AB3821" w:rsidTr="00311E0C">
        <w:tc>
          <w:tcPr>
            <w:tcW w:w="10800" w:type="dxa"/>
            <w:gridSpan w:val="2"/>
          </w:tcPr>
          <w:p w:rsidR="000303AF" w:rsidRPr="007928CB" w:rsidRDefault="00311E0C" w:rsidP="00AB3821">
            <w:pPr>
              <w:spacing w:after="0"/>
              <w:rPr>
                <w:rFonts w:asciiTheme="minorHAnsi" w:hAnsiTheme="minorHAnsi" w:cs="Arial"/>
                <w:b/>
              </w:rPr>
            </w:pPr>
            <w:r w:rsidRPr="007928CB">
              <w:rPr>
                <w:rFonts w:asciiTheme="minorHAnsi" w:hAnsiTheme="minorHAnsi" w:cs="Arial"/>
                <w:b/>
              </w:rPr>
              <w:t xml:space="preserve">PRODUCT DESCRIPTION </w:t>
            </w:r>
            <w:r w:rsidR="000303AF" w:rsidRPr="007928CB">
              <w:rPr>
                <w:rFonts w:asciiTheme="minorHAnsi" w:hAnsiTheme="minorHAnsi" w:cs="Arial"/>
                <w:b/>
              </w:rPr>
              <w:t>:</w:t>
            </w:r>
          </w:p>
          <w:p w:rsidR="00311E0C" w:rsidRPr="00311E0C" w:rsidRDefault="00F04548" w:rsidP="00F04548">
            <w:pPr>
              <w:spacing w:after="0"/>
              <w:rPr>
                <w:sz w:val="8"/>
                <w:szCs w:val="8"/>
              </w:rPr>
            </w:pPr>
            <w:r>
              <w:rPr>
                <w:rFonts w:asciiTheme="minorHAnsi" w:hAnsiTheme="minorHAnsi" w:cs="Arial"/>
              </w:rPr>
              <w:t>PC</w:t>
            </w:r>
            <w:r w:rsidR="00FB0410">
              <w:rPr>
                <w:rFonts w:asciiTheme="minorHAnsi" w:hAnsiTheme="minorHAnsi" w:cs="Arial"/>
              </w:rPr>
              <w:t xml:space="preserve"> AF 208</w:t>
            </w:r>
            <w:r w:rsidR="00AC662E">
              <w:rPr>
                <w:rFonts w:asciiTheme="minorHAnsi" w:hAnsiTheme="minorHAnsi" w:cs="Arial"/>
              </w:rPr>
              <w:t xml:space="preserve"> is a 10</w:t>
            </w:r>
            <w:r w:rsidR="004D7D44" w:rsidRPr="007928CB">
              <w:rPr>
                <w:rFonts w:asciiTheme="minorHAnsi" w:hAnsiTheme="minorHAnsi" w:cs="Arial"/>
              </w:rPr>
              <w:t>0% active self-emulsifying antifoam that is easy to use and readi</w:t>
            </w:r>
            <w:r w:rsidR="00AC662E">
              <w:rPr>
                <w:rFonts w:asciiTheme="minorHAnsi" w:hAnsiTheme="minorHAnsi" w:cs="Arial"/>
              </w:rPr>
              <w:t xml:space="preserve">ly dispersible in water.  PC </w:t>
            </w:r>
            <w:r w:rsidR="00FB0410">
              <w:rPr>
                <w:rFonts w:asciiTheme="minorHAnsi" w:hAnsiTheme="minorHAnsi" w:cs="Arial"/>
              </w:rPr>
              <w:t>AF 208</w:t>
            </w:r>
            <w:r w:rsidR="004D7D44" w:rsidRPr="007928CB">
              <w:rPr>
                <w:rFonts w:asciiTheme="minorHAnsi" w:hAnsiTheme="minorHAnsi" w:cs="Arial"/>
              </w:rPr>
              <w:t xml:space="preserve"> contains no Formaldehyde, or Aldehyde derivatives.   It may be used in hot or cold foaming systems over a wide pH an</w:t>
            </w:r>
            <w:r w:rsidR="00AC662E">
              <w:rPr>
                <w:rFonts w:asciiTheme="minorHAnsi" w:hAnsiTheme="minorHAnsi" w:cs="Arial"/>
              </w:rPr>
              <w:t>d temperature ranges.  PC</w:t>
            </w:r>
            <w:r w:rsidR="00FB0410">
              <w:rPr>
                <w:rFonts w:asciiTheme="minorHAnsi" w:hAnsiTheme="minorHAnsi" w:cs="Arial"/>
              </w:rPr>
              <w:t xml:space="preserve"> AF 208</w:t>
            </w:r>
            <w:r w:rsidR="004D7D44" w:rsidRPr="007928CB">
              <w:rPr>
                <w:rFonts w:asciiTheme="minorHAnsi" w:hAnsiTheme="minorHAnsi" w:cs="Arial"/>
              </w:rPr>
              <w:t xml:space="preserve"> is compatible in most textile and coating applications.  Because it is self-emulsifying, it is ideal for ink defoaming, dyeing processes</w:t>
            </w:r>
            <w:r w:rsidR="00FB0410">
              <w:rPr>
                <w:rFonts w:asciiTheme="minorHAnsi" w:hAnsiTheme="minorHAnsi" w:cs="Arial"/>
              </w:rPr>
              <w:t xml:space="preserve">, </w:t>
            </w:r>
            <w:r w:rsidR="004D7D44" w:rsidRPr="007928CB">
              <w:rPr>
                <w:rFonts w:asciiTheme="minorHAnsi" w:hAnsiTheme="minorHAnsi" w:cs="Arial"/>
              </w:rPr>
              <w:t>organic paints and coatings esp</w:t>
            </w:r>
            <w:r w:rsidR="00AC662E">
              <w:rPr>
                <w:rFonts w:asciiTheme="minorHAnsi" w:hAnsiTheme="minorHAnsi" w:cs="Arial"/>
              </w:rPr>
              <w:t xml:space="preserve">ecially clear </w:t>
            </w:r>
            <w:r w:rsidR="00FB0410">
              <w:rPr>
                <w:rFonts w:asciiTheme="minorHAnsi" w:hAnsiTheme="minorHAnsi" w:cs="Arial"/>
              </w:rPr>
              <w:t xml:space="preserve">alkyd </w:t>
            </w:r>
            <w:r w:rsidR="00AC662E">
              <w:rPr>
                <w:rFonts w:asciiTheme="minorHAnsi" w:hAnsiTheme="minorHAnsi" w:cs="Arial"/>
              </w:rPr>
              <w:t xml:space="preserve">systems. </w:t>
            </w:r>
          </w:p>
        </w:tc>
      </w:tr>
      <w:tr w:rsidR="004D7D44" w:rsidTr="00836A2C">
        <w:tc>
          <w:tcPr>
            <w:tcW w:w="5400" w:type="dxa"/>
          </w:tcPr>
          <w:p w:rsidR="004D7D44" w:rsidRPr="007928CB" w:rsidRDefault="004D7D44" w:rsidP="00664A32">
            <w:pPr>
              <w:spacing w:after="0"/>
              <w:jc w:val="center"/>
              <w:rPr>
                <w:rFonts w:asciiTheme="minorHAnsi" w:hAnsiTheme="minorHAnsi" w:cs="Arial"/>
                <w:b/>
                <w:caps/>
              </w:rPr>
            </w:pPr>
            <w:r w:rsidRPr="007928CB">
              <w:rPr>
                <w:rFonts w:asciiTheme="minorHAnsi" w:hAnsiTheme="minorHAnsi" w:cs="Arial"/>
                <w:b/>
                <w:caps/>
              </w:rPr>
              <w:t>Applications :</w:t>
            </w:r>
          </w:p>
          <w:p w:rsidR="004D7D44" w:rsidRPr="007928CB" w:rsidRDefault="004D7D44" w:rsidP="00664A32">
            <w:pPr>
              <w:spacing w:after="0"/>
              <w:rPr>
                <w:rFonts w:asciiTheme="minorHAnsi" w:hAnsiTheme="minorHAnsi" w:cs="Arial"/>
              </w:rPr>
            </w:pPr>
            <w:r w:rsidRPr="007928CB">
              <w:rPr>
                <w:rFonts w:asciiTheme="minorHAnsi" w:hAnsiTheme="minorHAnsi" w:cs="Arial"/>
              </w:rPr>
              <w:t>●</w:t>
            </w:r>
            <w:r w:rsidRPr="007928CB">
              <w:rPr>
                <w:rFonts w:asciiTheme="minorHAnsi" w:hAnsiTheme="minorHAnsi" w:cs="Arial"/>
              </w:rPr>
              <w:tab/>
              <w:t xml:space="preserve">Clear Water Based Products for Inks, Paints and </w:t>
            </w:r>
            <w:r w:rsidR="007928CB">
              <w:rPr>
                <w:rFonts w:asciiTheme="minorHAnsi" w:hAnsiTheme="minorHAnsi" w:cs="Arial"/>
              </w:rPr>
              <w:tab/>
            </w:r>
            <w:r w:rsidRPr="007928CB">
              <w:rPr>
                <w:rFonts w:asciiTheme="minorHAnsi" w:hAnsiTheme="minorHAnsi" w:cs="Arial"/>
              </w:rPr>
              <w:t>Coatings</w:t>
            </w:r>
          </w:p>
          <w:p w:rsidR="004D7D44" w:rsidRPr="007928CB" w:rsidRDefault="004D7D44" w:rsidP="00664A32">
            <w:pPr>
              <w:spacing w:after="0"/>
              <w:rPr>
                <w:rFonts w:asciiTheme="minorHAnsi" w:hAnsiTheme="minorHAnsi" w:cs="Arial"/>
              </w:rPr>
            </w:pPr>
            <w:r w:rsidRPr="007928CB">
              <w:rPr>
                <w:rFonts w:asciiTheme="minorHAnsi" w:hAnsiTheme="minorHAnsi" w:cs="Arial"/>
              </w:rPr>
              <w:t>●</w:t>
            </w:r>
            <w:r w:rsidRPr="007928CB">
              <w:rPr>
                <w:rFonts w:asciiTheme="minorHAnsi" w:hAnsiTheme="minorHAnsi" w:cs="Arial"/>
              </w:rPr>
              <w:tab/>
              <w:t>Resin Products</w:t>
            </w:r>
          </w:p>
          <w:p w:rsidR="004D7D44" w:rsidRPr="007928CB" w:rsidRDefault="004D7D44" w:rsidP="00664A32">
            <w:pPr>
              <w:spacing w:after="0"/>
              <w:rPr>
                <w:rFonts w:asciiTheme="minorHAnsi" w:hAnsiTheme="minorHAnsi" w:cs="Arial"/>
              </w:rPr>
            </w:pPr>
            <w:r w:rsidRPr="007928CB">
              <w:rPr>
                <w:rFonts w:asciiTheme="minorHAnsi" w:hAnsiTheme="minorHAnsi" w:cs="Arial"/>
              </w:rPr>
              <w:t>●</w:t>
            </w:r>
            <w:r w:rsidRPr="007928CB">
              <w:rPr>
                <w:rFonts w:asciiTheme="minorHAnsi" w:hAnsiTheme="minorHAnsi" w:cs="Arial"/>
              </w:rPr>
              <w:tab/>
              <w:t>Fabric Jet-Dying and Beck Dying of Fabrics</w:t>
            </w:r>
          </w:p>
          <w:p w:rsidR="004D7D44" w:rsidRPr="007928CB" w:rsidRDefault="004D7D44" w:rsidP="00664A32">
            <w:pPr>
              <w:spacing w:after="0"/>
              <w:rPr>
                <w:rFonts w:asciiTheme="minorHAnsi" w:hAnsiTheme="minorHAnsi" w:cs="Arial"/>
              </w:rPr>
            </w:pPr>
            <w:r w:rsidRPr="007928CB">
              <w:rPr>
                <w:rFonts w:asciiTheme="minorHAnsi" w:hAnsiTheme="minorHAnsi" w:cs="Arial"/>
              </w:rPr>
              <w:t>●</w:t>
            </w:r>
            <w:r w:rsidRPr="007928CB">
              <w:rPr>
                <w:rFonts w:asciiTheme="minorHAnsi" w:hAnsiTheme="minorHAnsi" w:cs="Arial"/>
              </w:rPr>
              <w:tab/>
            </w:r>
            <w:r w:rsidR="00FB0410">
              <w:rPr>
                <w:rFonts w:asciiTheme="minorHAnsi" w:hAnsiTheme="minorHAnsi" w:cs="Arial"/>
              </w:rPr>
              <w:t>Vinyl Based Syatems</w:t>
            </w:r>
          </w:p>
          <w:p w:rsidR="004D7D44" w:rsidRPr="007928CB" w:rsidRDefault="004D7D44" w:rsidP="00664A32">
            <w:pPr>
              <w:spacing w:after="0"/>
              <w:rPr>
                <w:rFonts w:asciiTheme="minorHAnsi" w:hAnsiTheme="minorHAnsi" w:cs="Arial"/>
              </w:rPr>
            </w:pPr>
            <w:r w:rsidRPr="007928CB">
              <w:rPr>
                <w:rFonts w:asciiTheme="minorHAnsi" w:hAnsiTheme="minorHAnsi" w:cs="Arial"/>
              </w:rPr>
              <w:t>●</w:t>
            </w:r>
            <w:r w:rsidRPr="007928CB">
              <w:rPr>
                <w:rFonts w:asciiTheme="minorHAnsi" w:hAnsiTheme="minorHAnsi" w:cs="Arial"/>
              </w:rPr>
              <w:tab/>
            </w:r>
            <w:r w:rsidR="00FB0410">
              <w:rPr>
                <w:rFonts w:asciiTheme="minorHAnsi" w:hAnsiTheme="minorHAnsi" w:cs="Arial"/>
              </w:rPr>
              <w:t>Acrylics and Alkyd synthetics</w:t>
            </w:r>
          </w:p>
        </w:tc>
        <w:tc>
          <w:tcPr>
            <w:tcW w:w="5400" w:type="dxa"/>
          </w:tcPr>
          <w:p w:rsidR="004D7D44" w:rsidRPr="007928CB" w:rsidRDefault="004D7D44" w:rsidP="00664A32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7928CB">
              <w:rPr>
                <w:rFonts w:asciiTheme="minorHAnsi" w:hAnsiTheme="minorHAnsi" w:cs="Arial"/>
              </w:rPr>
              <w:t>BENEFITS :</w:t>
            </w:r>
          </w:p>
          <w:p w:rsidR="004D7D44" w:rsidRPr="007928CB" w:rsidRDefault="004D7D44" w:rsidP="00664A32">
            <w:pPr>
              <w:spacing w:after="0"/>
              <w:rPr>
                <w:rFonts w:asciiTheme="minorHAnsi" w:hAnsiTheme="minorHAnsi" w:cs="Arial"/>
              </w:rPr>
            </w:pPr>
            <w:r w:rsidRPr="007928CB">
              <w:rPr>
                <w:rFonts w:asciiTheme="minorHAnsi" w:hAnsiTheme="minorHAnsi" w:cs="Arial"/>
              </w:rPr>
              <w:t>●</w:t>
            </w:r>
            <w:r w:rsidRPr="007928CB">
              <w:rPr>
                <w:rFonts w:asciiTheme="minorHAnsi" w:hAnsiTheme="minorHAnsi" w:cs="Arial"/>
              </w:rPr>
              <w:tab/>
              <w:t>Water Dispersible - Free Rinsing</w:t>
            </w:r>
          </w:p>
          <w:p w:rsidR="004D7D44" w:rsidRPr="007928CB" w:rsidRDefault="004D7D44" w:rsidP="00664A32">
            <w:pPr>
              <w:spacing w:after="0"/>
              <w:rPr>
                <w:rFonts w:asciiTheme="minorHAnsi" w:hAnsiTheme="minorHAnsi" w:cs="Arial"/>
              </w:rPr>
            </w:pPr>
            <w:r w:rsidRPr="007928CB">
              <w:rPr>
                <w:rFonts w:asciiTheme="minorHAnsi" w:hAnsiTheme="minorHAnsi" w:cs="Arial"/>
              </w:rPr>
              <w:t>●</w:t>
            </w:r>
            <w:r w:rsidRPr="007928CB">
              <w:rPr>
                <w:rFonts w:asciiTheme="minorHAnsi" w:hAnsiTheme="minorHAnsi" w:cs="Arial"/>
              </w:rPr>
              <w:tab/>
              <w:t>Easily Diluted</w:t>
            </w:r>
          </w:p>
          <w:p w:rsidR="004D7D44" w:rsidRPr="007928CB" w:rsidRDefault="004D7D44" w:rsidP="00664A32">
            <w:pPr>
              <w:spacing w:after="0"/>
              <w:rPr>
                <w:rFonts w:asciiTheme="minorHAnsi" w:hAnsiTheme="minorHAnsi" w:cs="Arial"/>
              </w:rPr>
            </w:pPr>
            <w:r w:rsidRPr="007928CB">
              <w:rPr>
                <w:rFonts w:asciiTheme="minorHAnsi" w:hAnsiTheme="minorHAnsi" w:cs="Arial"/>
              </w:rPr>
              <w:t>●</w:t>
            </w:r>
            <w:r w:rsidRPr="007928CB">
              <w:rPr>
                <w:rFonts w:asciiTheme="minorHAnsi" w:hAnsiTheme="minorHAnsi" w:cs="Arial"/>
              </w:rPr>
              <w:tab/>
              <w:t>High or Low pH Range</w:t>
            </w:r>
          </w:p>
          <w:p w:rsidR="004D7D44" w:rsidRPr="007928CB" w:rsidRDefault="004D7D44" w:rsidP="00664A32">
            <w:pPr>
              <w:spacing w:after="0"/>
              <w:rPr>
                <w:rFonts w:asciiTheme="minorHAnsi" w:hAnsiTheme="minorHAnsi" w:cs="Arial"/>
              </w:rPr>
            </w:pPr>
            <w:r w:rsidRPr="007928CB">
              <w:rPr>
                <w:rFonts w:asciiTheme="minorHAnsi" w:hAnsiTheme="minorHAnsi" w:cs="Arial"/>
              </w:rPr>
              <w:t>●</w:t>
            </w:r>
            <w:r w:rsidRPr="007928CB">
              <w:rPr>
                <w:rFonts w:asciiTheme="minorHAnsi" w:hAnsiTheme="minorHAnsi" w:cs="Arial"/>
              </w:rPr>
              <w:tab/>
              <w:t>Dispersible in Organic Compounds</w:t>
            </w:r>
          </w:p>
          <w:p w:rsidR="004D7D44" w:rsidRPr="007928CB" w:rsidRDefault="004D7D44" w:rsidP="00664A32">
            <w:pPr>
              <w:spacing w:after="0"/>
              <w:rPr>
                <w:rFonts w:asciiTheme="minorHAnsi" w:hAnsiTheme="minorHAnsi" w:cs="Arial"/>
              </w:rPr>
            </w:pPr>
            <w:r w:rsidRPr="007928CB">
              <w:rPr>
                <w:rFonts w:asciiTheme="minorHAnsi" w:hAnsiTheme="minorHAnsi" w:cs="Arial"/>
              </w:rPr>
              <w:t>●</w:t>
            </w:r>
            <w:r w:rsidRPr="007928CB">
              <w:rPr>
                <w:rFonts w:asciiTheme="minorHAnsi" w:hAnsiTheme="minorHAnsi" w:cs="Arial"/>
              </w:rPr>
              <w:tab/>
              <w:t>Excellent In Clear Products</w:t>
            </w:r>
          </w:p>
          <w:p w:rsidR="004D7D44" w:rsidRPr="007928CB" w:rsidRDefault="004D7D44" w:rsidP="00664A32">
            <w:pPr>
              <w:spacing w:after="0"/>
              <w:rPr>
                <w:rFonts w:asciiTheme="minorHAnsi" w:hAnsiTheme="minorHAnsi" w:cs="Arial"/>
                <w:b/>
              </w:rPr>
            </w:pPr>
            <w:r w:rsidRPr="007928CB">
              <w:rPr>
                <w:rFonts w:asciiTheme="minorHAnsi" w:hAnsiTheme="minorHAnsi" w:cs="Arial"/>
              </w:rPr>
              <w:t>●</w:t>
            </w:r>
            <w:r w:rsidRPr="007928CB">
              <w:rPr>
                <w:rFonts w:asciiTheme="minorHAnsi" w:hAnsiTheme="minorHAnsi" w:cs="Arial"/>
              </w:rPr>
              <w:tab/>
            </w:r>
            <w:r w:rsidR="00FB0410">
              <w:rPr>
                <w:rFonts w:asciiTheme="minorHAnsi" w:hAnsiTheme="minorHAnsi" w:cs="Arial"/>
              </w:rPr>
              <w:t>US TSCA listed, RoHS 202/95EC compliant</w:t>
            </w:r>
            <w:bookmarkStart w:id="0" w:name="_GoBack"/>
            <w:bookmarkEnd w:id="0"/>
          </w:p>
        </w:tc>
      </w:tr>
    </w:tbl>
    <w:p w:rsidR="005F786F" w:rsidRPr="00673CE1" w:rsidRDefault="005F786F" w:rsidP="000303AF">
      <w:pPr>
        <w:spacing w:after="0"/>
        <w:rPr>
          <w:sz w:val="8"/>
          <w:szCs w:val="8"/>
        </w:rPr>
      </w:pPr>
    </w:p>
    <w:tbl>
      <w:tblPr>
        <w:tblStyle w:val="TableGrid"/>
        <w:tblW w:w="1080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060"/>
        <w:gridCol w:w="2520"/>
        <w:gridCol w:w="2070"/>
        <w:gridCol w:w="1620"/>
      </w:tblGrid>
      <w:tr w:rsidR="007928CB" w:rsidTr="00CE5B68">
        <w:trPr>
          <w:trHeight w:val="20"/>
        </w:trPr>
        <w:tc>
          <w:tcPr>
            <w:tcW w:w="10800" w:type="dxa"/>
            <w:gridSpan w:val="5"/>
          </w:tcPr>
          <w:p w:rsidR="007928CB" w:rsidRPr="000303AF" w:rsidRDefault="007928CB" w:rsidP="00AF019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303AF">
              <w:rPr>
                <w:b/>
                <w:sz w:val="28"/>
                <w:szCs w:val="28"/>
              </w:rPr>
              <w:t>TYPICAL PROPERTIES</w:t>
            </w:r>
            <w:r>
              <w:rPr>
                <w:b/>
                <w:sz w:val="28"/>
                <w:szCs w:val="28"/>
              </w:rPr>
              <w:t xml:space="preserve"> *</w:t>
            </w:r>
          </w:p>
        </w:tc>
      </w:tr>
      <w:tr w:rsidR="007928CB" w:rsidTr="007928CB">
        <w:trPr>
          <w:trHeight w:val="20"/>
        </w:trPr>
        <w:tc>
          <w:tcPr>
            <w:tcW w:w="1530" w:type="dxa"/>
          </w:tcPr>
          <w:p w:rsidR="007928CB" w:rsidRPr="000303AF" w:rsidRDefault="007928CB" w:rsidP="00AF0190">
            <w:pPr>
              <w:spacing w:after="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28CB" w:rsidRPr="000303AF" w:rsidRDefault="007928CB" w:rsidP="00AF0190">
            <w:pPr>
              <w:spacing w:after="0"/>
              <w:jc w:val="center"/>
              <w:rPr>
                <w:caps/>
                <w:sz w:val="24"/>
                <w:szCs w:val="24"/>
              </w:rPr>
            </w:pPr>
            <w:r w:rsidRPr="000303AF">
              <w:rPr>
                <w:b/>
                <w:bCs/>
                <w:caps/>
                <w:sz w:val="24"/>
                <w:szCs w:val="24"/>
              </w:rPr>
              <w:t>Property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28CB" w:rsidRPr="000303AF" w:rsidRDefault="007928CB" w:rsidP="00AF0190">
            <w:pPr>
              <w:spacing w:after="0"/>
              <w:jc w:val="center"/>
              <w:rPr>
                <w:caps/>
                <w:sz w:val="24"/>
                <w:szCs w:val="24"/>
              </w:rPr>
            </w:pPr>
            <w:r w:rsidRPr="000303AF">
              <w:rPr>
                <w:b/>
                <w:bCs/>
                <w:caps/>
                <w:sz w:val="24"/>
                <w:szCs w:val="24"/>
              </w:rPr>
              <w:t>Value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7928CB" w:rsidRPr="000303AF" w:rsidRDefault="007928CB" w:rsidP="00AF0190">
            <w:pPr>
              <w:spacing w:after="0"/>
              <w:jc w:val="center"/>
              <w:rPr>
                <w:caps/>
                <w:sz w:val="24"/>
                <w:szCs w:val="24"/>
              </w:rPr>
            </w:pPr>
            <w:r w:rsidRPr="000303AF">
              <w:rPr>
                <w:b/>
                <w:bCs/>
                <w:caps/>
                <w:sz w:val="24"/>
                <w:szCs w:val="24"/>
              </w:rPr>
              <w:t>Unit</w:t>
            </w:r>
          </w:p>
        </w:tc>
        <w:tc>
          <w:tcPr>
            <w:tcW w:w="1620" w:type="dxa"/>
          </w:tcPr>
          <w:p w:rsidR="007928CB" w:rsidRPr="000303AF" w:rsidRDefault="007928CB" w:rsidP="00AF0190">
            <w:pPr>
              <w:spacing w:after="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7928CB" w:rsidTr="007928CB">
        <w:trPr>
          <w:trHeight w:val="20"/>
        </w:trPr>
        <w:tc>
          <w:tcPr>
            <w:tcW w:w="1530" w:type="dxa"/>
          </w:tcPr>
          <w:p w:rsidR="007928CB" w:rsidRPr="000303AF" w:rsidRDefault="007928CB" w:rsidP="00AF0190">
            <w:pPr>
              <w:spacing w:after="0"/>
              <w:jc w:val="right"/>
              <w:rPr>
                <w:bCs/>
                <w:caps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28CB" w:rsidRPr="000303AF" w:rsidRDefault="007928CB" w:rsidP="00AF0190">
            <w:pPr>
              <w:spacing w:after="0"/>
              <w:jc w:val="right"/>
              <w:rPr>
                <w:caps/>
                <w:sz w:val="20"/>
                <w:szCs w:val="20"/>
              </w:rPr>
            </w:pPr>
            <w:r w:rsidRPr="000303AF">
              <w:rPr>
                <w:bCs/>
                <w:caps/>
                <w:sz w:val="20"/>
                <w:szCs w:val="20"/>
              </w:rPr>
              <w:t>APPEARANCE 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28CB" w:rsidRPr="000303AF" w:rsidRDefault="00AC662E" w:rsidP="00AF019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Opaque, </w:t>
            </w:r>
            <w:r w:rsidR="00FB0410">
              <w:rPr>
                <w:sz w:val="20"/>
                <w:szCs w:val="20"/>
              </w:rPr>
              <w:t>white</w:t>
            </w:r>
            <w:r w:rsidR="007928CB">
              <w:rPr>
                <w:sz w:val="20"/>
                <w:szCs w:val="20"/>
              </w:rPr>
              <w:t xml:space="preserve"> </w:t>
            </w:r>
            <w:r w:rsidR="007928CB" w:rsidRPr="00311E0C">
              <w:rPr>
                <w:sz w:val="20"/>
                <w:szCs w:val="20"/>
              </w:rPr>
              <w:t>liquid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928CB" w:rsidRPr="000303AF" w:rsidRDefault="007928CB" w:rsidP="00AF0190">
            <w:pPr>
              <w:spacing w:after="0"/>
              <w:jc w:val="center"/>
              <w:rPr>
                <w:sz w:val="20"/>
                <w:szCs w:val="20"/>
              </w:rPr>
            </w:pPr>
            <w:r w:rsidRPr="000303A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928CB" w:rsidRPr="000303AF" w:rsidRDefault="007928CB" w:rsidP="00AF019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28CB" w:rsidTr="007928CB">
        <w:trPr>
          <w:trHeight w:val="20"/>
        </w:trPr>
        <w:tc>
          <w:tcPr>
            <w:tcW w:w="1530" w:type="dxa"/>
          </w:tcPr>
          <w:p w:rsidR="007928CB" w:rsidRDefault="007928CB" w:rsidP="00AF0190">
            <w:pPr>
              <w:spacing w:after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7928CB" w:rsidRDefault="007928CB" w:rsidP="00AF0190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PERCENT OF ACTIVE SOLIDS 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7928CB" w:rsidRDefault="00AC662E" w:rsidP="00AF019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928CB">
              <w:rPr>
                <w:sz w:val="20"/>
                <w:szCs w:val="20"/>
              </w:rPr>
              <w:t>0%</w:t>
            </w:r>
          </w:p>
        </w:tc>
        <w:tc>
          <w:tcPr>
            <w:tcW w:w="2070" w:type="dxa"/>
            <w:vAlign w:val="center"/>
          </w:tcPr>
          <w:p w:rsidR="007928CB" w:rsidRPr="000303AF" w:rsidRDefault="007928CB" w:rsidP="00AF019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928CB" w:rsidRDefault="007928CB" w:rsidP="00AF019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28CB" w:rsidTr="007928CB">
        <w:trPr>
          <w:trHeight w:val="20"/>
        </w:trPr>
        <w:tc>
          <w:tcPr>
            <w:tcW w:w="1530" w:type="dxa"/>
          </w:tcPr>
          <w:p w:rsidR="007928CB" w:rsidRDefault="007928CB" w:rsidP="00AF0190">
            <w:pPr>
              <w:spacing w:after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7928CB" w:rsidRPr="000303AF" w:rsidRDefault="007928CB" w:rsidP="00AF0190">
            <w:pPr>
              <w:spacing w:after="0"/>
              <w:jc w:val="right"/>
              <w:rPr>
                <w:sz w:val="20"/>
                <w:szCs w:val="20"/>
              </w:rPr>
            </w:pPr>
            <w:r w:rsidRPr="000303AF">
              <w:rPr>
                <w:bCs/>
                <w:caps/>
                <w:sz w:val="20"/>
                <w:szCs w:val="20"/>
              </w:rPr>
              <w:t>Viscosity @ 25</w:t>
            </w:r>
            <w:r>
              <w:rPr>
                <w:bCs/>
                <w:caps/>
                <w:sz w:val="20"/>
                <w:szCs w:val="20"/>
              </w:rPr>
              <w:t>°</w:t>
            </w:r>
            <w:r w:rsidRPr="000303AF">
              <w:rPr>
                <w:bCs/>
                <w:caps/>
                <w:sz w:val="20"/>
                <w:szCs w:val="20"/>
              </w:rPr>
              <w:t>C (77</w:t>
            </w:r>
            <w:r>
              <w:rPr>
                <w:bCs/>
                <w:caps/>
                <w:sz w:val="20"/>
                <w:szCs w:val="20"/>
              </w:rPr>
              <w:t>°</w:t>
            </w:r>
            <w:r w:rsidRPr="000303AF">
              <w:rPr>
                <w:bCs/>
                <w:caps/>
                <w:sz w:val="20"/>
                <w:szCs w:val="20"/>
              </w:rPr>
              <w:t>F) 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7928CB" w:rsidRPr="000303AF" w:rsidRDefault="00FB0410" w:rsidP="00AF019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700-1500</w:t>
            </w:r>
          </w:p>
        </w:tc>
        <w:tc>
          <w:tcPr>
            <w:tcW w:w="2070" w:type="dxa"/>
            <w:vAlign w:val="center"/>
          </w:tcPr>
          <w:p w:rsidR="007928CB" w:rsidRPr="000303AF" w:rsidRDefault="007928CB" w:rsidP="00AF019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CPS (Brookfield)</w:t>
            </w:r>
          </w:p>
        </w:tc>
        <w:tc>
          <w:tcPr>
            <w:tcW w:w="1620" w:type="dxa"/>
          </w:tcPr>
          <w:p w:rsidR="007928CB" w:rsidRPr="000303AF" w:rsidRDefault="007928CB" w:rsidP="00AF019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28CB" w:rsidTr="007928CB">
        <w:trPr>
          <w:trHeight w:val="20"/>
        </w:trPr>
        <w:tc>
          <w:tcPr>
            <w:tcW w:w="1530" w:type="dxa"/>
          </w:tcPr>
          <w:p w:rsidR="007928CB" w:rsidRDefault="007928CB" w:rsidP="00AF0190">
            <w:pPr>
              <w:spacing w:after="0"/>
              <w:jc w:val="right"/>
              <w:rPr>
                <w:bCs/>
                <w:caps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7928CB" w:rsidRPr="000303AF" w:rsidRDefault="007928CB" w:rsidP="007928CB">
            <w:pPr>
              <w:spacing w:after="0"/>
              <w:jc w:val="right"/>
              <w:rPr>
                <w: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SPECIFICE GRAVITY </w:t>
            </w:r>
            <w:r w:rsidRPr="000303AF">
              <w:rPr>
                <w:bCs/>
                <w:caps/>
                <w:sz w:val="20"/>
                <w:szCs w:val="20"/>
              </w:rPr>
              <w:t>@ 25</w:t>
            </w:r>
            <w:r>
              <w:rPr>
                <w:bCs/>
                <w:caps/>
                <w:sz w:val="20"/>
                <w:szCs w:val="20"/>
              </w:rPr>
              <w:t>°</w:t>
            </w:r>
            <w:r w:rsidRPr="000303AF">
              <w:rPr>
                <w:bCs/>
                <w:caps/>
                <w:sz w:val="20"/>
                <w:szCs w:val="20"/>
              </w:rPr>
              <w:t>C (77</w:t>
            </w:r>
            <w:r>
              <w:rPr>
                <w:bCs/>
                <w:caps/>
                <w:sz w:val="20"/>
                <w:szCs w:val="20"/>
              </w:rPr>
              <w:t>°</w:t>
            </w:r>
            <w:r w:rsidRPr="000303AF">
              <w:rPr>
                <w:bCs/>
                <w:caps/>
                <w:sz w:val="20"/>
                <w:szCs w:val="20"/>
              </w:rPr>
              <w:t>F)</w:t>
            </w:r>
            <w:r>
              <w:rPr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7928CB" w:rsidRPr="000303AF" w:rsidRDefault="007928CB" w:rsidP="00AF019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FB0410">
              <w:rPr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:rsidR="007928CB" w:rsidRPr="000303AF" w:rsidRDefault="007928CB" w:rsidP="00AF019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g/ml</w:t>
            </w:r>
          </w:p>
        </w:tc>
        <w:tc>
          <w:tcPr>
            <w:tcW w:w="1620" w:type="dxa"/>
          </w:tcPr>
          <w:p w:rsidR="007928CB" w:rsidRDefault="007928CB" w:rsidP="00AF019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28CB" w:rsidTr="007928CB">
        <w:trPr>
          <w:trHeight w:val="20"/>
        </w:trPr>
        <w:tc>
          <w:tcPr>
            <w:tcW w:w="1530" w:type="dxa"/>
          </w:tcPr>
          <w:p w:rsidR="007928CB" w:rsidRPr="000303AF" w:rsidRDefault="007928CB" w:rsidP="00AF0190">
            <w:pPr>
              <w:spacing w:after="0"/>
              <w:jc w:val="right"/>
              <w:rPr>
                <w:bCs/>
                <w:caps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7928CB" w:rsidRPr="000303AF" w:rsidRDefault="007928CB" w:rsidP="00AF0190">
            <w:pPr>
              <w:spacing w:after="0"/>
              <w:jc w:val="right"/>
              <w:rPr>
                <w:caps/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</w:rPr>
              <w:t>WEIGHT PER GALLON</w:t>
            </w:r>
            <w:r w:rsidRPr="000303AF">
              <w:rPr>
                <w:bCs/>
                <w:caps/>
                <w:sz w:val="20"/>
                <w:szCs w:val="20"/>
              </w:rPr>
              <w:t xml:space="preserve"> 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7928CB" w:rsidRPr="000303AF" w:rsidRDefault="00AC662E" w:rsidP="00AF019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FB0410">
              <w:rPr>
                <w:sz w:val="20"/>
                <w:szCs w:val="20"/>
              </w:rPr>
              <w:t>69</w:t>
            </w:r>
          </w:p>
        </w:tc>
        <w:tc>
          <w:tcPr>
            <w:tcW w:w="2070" w:type="dxa"/>
            <w:vAlign w:val="center"/>
          </w:tcPr>
          <w:p w:rsidR="007928CB" w:rsidRPr="000303AF" w:rsidRDefault="007928CB" w:rsidP="00AF019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Lb/gal</w:t>
            </w:r>
          </w:p>
        </w:tc>
        <w:tc>
          <w:tcPr>
            <w:tcW w:w="1620" w:type="dxa"/>
          </w:tcPr>
          <w:p w:rsidR="007928CB" w:rsidRDefault="007928CB" w:rsidP="00AF019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28CB" w:rsidTr="007928CB">
        <w:trPr>
          <w:trHeight w:val="20"/>
        </w:trPr>
        <w:tc>
          <w:tcPr>
            <w:tcW w:w="1530" w:type="dxa"/>
          </w:tcPr>
          <w:p w:rsidR="007928CB" w:rsidRDefault="007928CB" w:rsidP="00311E0C">
            <w:pPr>
              <w:spacing w:after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7928CB" w:rsidRPr="00673CE1" w:rsidRDefault="007928CB" w:rsidP="007928CB">
            <w:pPr>
              <w:spacing w:after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 RANGE 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7928CB" w:rsidRPr="000303AF" w:rsidRDefault="007928CB" w:rsidP="00311E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 – 8.5</w:t>
            </w:r>
          </w:p>
        </w:tc>
        <w:tc>
          <w:tcPr>
            <w:tcW w:w="2070" w:type="dxa"/>
            <w:vAlign w:val="center"/>
          </w:tcPr>
          <w:p w:rsidR="007928CB" w:rsidRPr="000303AF" w:rsidRDefault="007928CB" w:rsidP="006E0CB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-pH Meter</w:t>
            </w:r>
          </w:p>
        </w:tc>
        <w:tc>
          <w:tcPr>
            <w:tcW w:w="1620" w:type="dxa"/>
          </w:tcPr>
          <w:p w:rsidR="007928CB" w:rsidRDefault="007928CB" w:rsidP="006E0CB0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7928CB" w:rsidTr="007928CB">
        <w:trPr>
          <w:trHeight w:val="20"/>
        </w:trPr>
        <w:tc>
          <w:tcPr>
            <w:tcW w:w="1530" w:type="dxa"/>
          </w:tcPr>
          <w:p w:rsidR="007928CB" w:rsidRDefault="007928CB" w:rsidP="00AF0190">
            <w:pPr>
              <w:spacing w:after="0"/>
              <w:jc w:val="right"/>
              <w:rPr>
                <w:bCs/>
                <w:caps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:rsidR="007928CB" w:rsidRPr="000303AF" w:rsidRDefault="007928CB" w:rsidP="007928CB">
            <w:pPr>
              <w:spacing w:after="0"/>
              <w:jc w:val="right"/>
              <w:rPr>
                <w:bCs/>
                <w:caps/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</w:rPr>
              <w:t>SOLUBILITY 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7928CB" w:rsidRPr="000303AF" w:rsidRDefault="007928CB" w:rsidP="00AF019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Dispersible in water</w:t>
            </w:r>
          </w:p>
        </w:tc>
        <w:tc>
          <w:tcPr>
            <w:tcW w:w="2070" w:type="dxa"/>
            <w:vAlign w:val="center"/>
          </w:tcPr>
          <w:p w:rsidR="007928CB" w:rsidRPr="000303AF" w:rsidRDefault="007928CB" w:rsidP="00AF019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928CB" w:rsidRDefault="007928CB" w:rsidP="00AF019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28CB" w:rsidTr="00681C28">
        <w:trPr>
          <w:trHeight w:val="20"/>
        </w:trPr>
        <w:tc>
          <w:tcPr>
            <w:tcW w:w="10800" w:type="dxa"/>
            <w:gridSpan w:val="5"/>
          </w:tcPr>
          <w:p w:rsidR="007928CB" w:rsidRDefault="007928CB" w:rsidP="007928CB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* </w:t>
            </w:r>
            <w:r w:rsidRPr="00311E0C">
              <w:rPr>
                <w:b/>
                <w:bCs/>
                <w:sz w:val="20"/>
                <w:szCs w:val="20"/>
              </w:rPr>
              <w:t xml:space="preserve">: </w:t>
            </w:r>
            <w:r w:rsidRPr="00311E0C">
              <w:rPr>
                <w:b/>
                <w:bCs/>
                <w:sz w:val="20"/>
                <w:szCs w:val="20"/>
              </w:rPr>
              <w:tab/>
            </w:r>
            <w:r w:rsidRPr="00311E0C">
              <w:rPr>
                <w:bCs/>
                <w:sz w:val="20"/>
                <w:szCs w:val="20"/>
              </w:rPr>
              <w:t xml:space="preserve">The above information is given only as a listing of typical properties and is not intended to be representative of product </w:t>
            </w:r>
            <w:r>
              <w:rPr>
                <w:bCs/>
                <w:sz w:val="20"/>
                <w:szCs w:val="20"/>
              </w:rPr>
              <w:tab/>
            </w:r>
            <w:r w:rsidRPr="00311E0C">
              <w:rPr>
                <w:bCs/>
                <w:sz w:val="20"/>
                <w:szCs w:val="20"/>
              </w:rPr>
              <w:t>specifications.  Please contact the Quality Assurance Department for current product specifications.</w:t>
            </w:r>
          </w:p>
        </w:tc>
      </w:tr>
    </w:tbl>
    <w:p w:rsidR="00AB3821" w:rsidRPr="00673CE1" w:rsidRDefault="00AB3821" w:rsidP="00AB382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AB3821" w:rsidTr="007928CB">
        <w:tc>
          <w:tcPr>
            <w:tcW w:w="10818" w:type="dxa"/>
            <w:vAlign w:val="center"/>
          </w:tcPr>
          <w:p w:rsidR="00311E0C" w:rsidRPr="00311E0C" w:rsidRDefault="00311E0C" w:rsidP="00311E0C">
            <w:pPr>
              <w:spacing w:after="0"/>
              <w:rPr>
                <w:b/>
                <w:bCs/>
                <w:sz w:val="8"/>
                <w:szCs w:val="8"/>
              </w:rPr>
            </w:pPr>
          </w:p>
          <w:p w:rsidR="004D7D44" w:rsidRPr="007928CB" w:rsidRDefault="004D7D44" w:rsidP="00664A32">
            <w:pPr>
              <w:spacing w:after="0"/>
              <w:rPr>
                <w:b/>
                <w:bCs/>
                <w:caps/>
              </w:rPr>
            </w:pPr>
            <w:r w:rsidRPr="007928CB">
              <w:rPr>
                <w:b/>
                <w:bCs/>
                <w:caps/>
              </w:rPr>
              <w:t>Directions For Use :</w:t>
            </w:r>
          </w:p>
          <w:p w:rsidR="004D7D44" w:rsidRPr="007928CB" w:rsidRDefault="00AC662E" w:rsidP="00664A32">
            <w:pPr>
              <w:spacing w:after="80"/>
              <w:rPr>
                <w:bCs/>
              </w:rPr>
            </w:pPr>
            <w:r>
              <w:rPr>
                <w:bCs/>
              </w:rPr>
              <w:t xml:space="preserve">Mix berore use.  </w:t>
            </w:r>
            <w:r w:rsidR="004D7D44" w:rsidRPr="007928CB">
              <w:rPr>
                <w:bCs/>
              </w:rPr>
              <w:t>PC</w:t>
            </w:r>
            <w:r w:rsidR="00FB0410">
              <w:rPr>
                <w:bCs/>
              </w:rPr>
              <w:t xml:space="preserve"> AF 208</w:t>
            </w:r>
            <w:r w:rsidR="004D7D44" w:rsidRPr="007928CB">
              <w:rPr>
                <w:bCs/>
              </w:rPr>
              <w:t xml:space="preserve"> is best used in diluted form to provide a high level of foam control.  Levels used in a standard dye bath of a 5% active solids dilution typically range from 0.15 to 0.25 grams per liter of product to b</w:t>
            </w:r>
            <w:r>
              <w:rPr>
                <w:bCs/>
              </w:rPr>
              <w:t>e defoamed. When diluting PC</w:t>
            </w:r>
            <w:r w:rsidR="00FB0410">
              <w:rPr>
                <w:bCs/>
              </w:rPr>
              <w:t xml:space="preserve"> AF 208</w:t>
            </w:r>
            <w:r w:rsidR="004D7D44" w:rsidRPr="007928CB">
              <w:rPr>
                <w:bCs/>
              </w:rPr>
              <w:t>, agitate the water and mix until dispersed.   For long term dilution stability, add a biocide such as Proxel GXL (Zenica Biocides), a polyacrylate or Xanthan Gum thickener and a small amount of caustic to raise the pH to 7.5-8.5.  A viscosity in the 700-1000 cps range is desirable.</w:t>
            </w:r>
          </w:p>
          <w:p w:rsidR="00AB3821" w:rsidRPr="00311E0C" w:rsidRDefault="00311E0C" w:rsidP="00664A32">
            <w:pPr>
              <w:spacing w:after="0"/>
              <w:rPr>
                <w:bCs/>
                <w:sz w:val="20"/>
                <w:szCs w:val="20"/>
              </w:rPr>
            </w:pPr>
            <w:r w:rsidRPr="007928CB">
              <w:rPr>
                <w:bCs/>
              </w:rPr>
              <w:t xml:space="preserve">This information is not to be taken as a warranty or representation for which we assume legal responsibility nor as permission or recommendation to practice any patented invention without a license.  It is offered solely for your consideration, investigation and verification.  </w:t>
            </w:r>
            <w:r w:rsidR="000303AF" w:rsidRPr="007928CB">
              <w:rPr>
                <w:bCs/>
              </w:rPr>
              <w:t xml:space="preserve">Refer to the Safety Data Sheet (SDS) for health, </w:t>
            </w:r>
            <w:r w:rsidR="00AF0190" w:rsidRPr="007928CB">
              <w:rPr>
                <w:bCs/>
              </w:rPr>
              <w:t>safety and personal protection.</w:t>
            </w:r>
          </w:p>
        </w:tc>
      </w:tr>
    </w:tbl>
    <w:p w:rsidR="00AB3821" w:rsidRDefault="00AB3821" w:rsidP="00673CE1"/>
    <w:sectPr w:rsidR="00AB3821" w:rsidSect="006A5540">
      <w:headerReference w:type="default" r:id="rId7"/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821" w:rsidRDefault="00AB3821" w:rsidP="009C1345">
      <w:pPr>
        <w:spacing w:after="0" w:line="240" w:lineRule="auto"/>
      </w:pPr>
      <w:r>
        <w:separator/>
      </w:r>
    </w:p>
  </w:endnote>
  <w:endnote w:type="continuationSeparator" w:id="0">
    <w:p w:rsidR="00AB3821" w:rsidRDefault="00AB3821" w:rsidP="009C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k B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86F" w:rsidRDefault="00FB0410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margin-left:-12.75pt;margin-top:9.6pt;width:564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" strokecolor="#1f497d" strokeweight="1pt"/>
      </w:pict>
    </w:r>
  </w:p>
  <w:p w:rsidR="009C1345" w:rsidRPr="006A5540" w:rsidRDefault="00AB3821" w:rsidP="005F786F">
    <w:pPr>
      <w:pStyle w:val="Footer"/>
      <w:jc w:val="center"/>
      <w:rPr>
        <w:rFonts w:cs="Calibri"/>
        <w:b/>
        <w:color w:val="1F497D"/>
      </w:rPr>
    </w:pPr>
    <w:r>
      <w:rPr>
        <w:rFonts w:cs="Calibri"/>
        <w:b/>
        <w:color w:val="1F497D"/>
      </w:rPr>
      <w:t>4</w:t>
    </w:r>
    <w:r w:rsidR="005F786F" w:rsidRPr="006A5540">
      <w:rPr>
        <w:rFonts w:cs="Calibri"/>
        <w:b/>
        <w:color w:val="1F497D"/>
      </w:rPr>
      <w:t>0 l</w:t>
    </w:r>
    <w:r>
      <w:rPr>
        <w:rFonts w:cs="Calibri"/>
        <w:b/>
        <w:color w:val="1F497D"/>
      </w:rPr>
      <w:t>ndustrial Park</w:t>
    </w:r>
    <w:r w:rsidR="005F786F" w:rsidRPr="006A5540">
      <w:rPr>
        <w:rFonts w:cs="Calibri"/>
        <w:b/>
        <w:color w:val="1F497D"/>
      </w:rPr>
      <w:t xml:space="preserve"> Drive • </w:t>
    </w:r>
    <w:r>
      <w:rPr>
        <w:rFonts w:cs="Calibri"/>
        <w:b/>
        <w:color w:val="1F497D"/>
      </w:rPr>
      <w:t>Franklin</w:t>
    </w:r>
    <w:r w:rsidR="005F786F" w:rsidRPr="006A5540">
      <w:rPr>
        <w:rFonts w:cs="Calibri"/>
        <w:b/>
        <w:color w:val="1F497D"/>
      </w:rPr>
      <w:t>, NH  03</w:t>
    </w:r>
    <w:r>
      <w:rPr>
        <w:rFonts w:cs="Calibri"/>
        <w:b/>
        <w:color w:val="1F497D"/>
      </w:rPr>
      <w:t>235</w:t>
    </w:r>
    <w:r w:rsidR="005F786F" w:rsidRPr="006A5540">
      <w:rPr>
        <w:rFonts w:cs="Calibri"/>
        <w:b/>
        <w:color w:val="1F497D"/>
      </w:rPr>
      <w:t xml:space="preserve"> • Phone 603-228-1200 • Fax 603-228-1295</w:t>
    </w:r>
  </w:p>
  <w:p w:rsidR="005F786F" w:rsidRPr="006A5540" w:rsidRDefault="005F786F" w:rsidP="005F786F">
    <w:pPr>
      <w:pStyle w:val="Footer"/>
      <w:jc w:val="center"/>
      <w:rPr>
        <w:rFonts w:cs="Calibri"/>
        <w:b/>
        <w:color w:val="1F497D"/>
      </w:rPr>
    </w:pPr>
    <w:r w:rsidRPr="006A5540">
      <w:rPr>
        <w:rFonts w:cs="Calibri"/>
        <w:b/>
        <w:color w:val="1F497D"/>
      </w:rPr>
      <w:t xml:space="preserve">E-Mail: </w:t>
    </w:r>
    <w:r w:rsidR="00300E30">
      <w:rPr>
        <w:rFonts w:cs="Calibri"/>
        <w:b/>
        <w:color w:val="1F497D"/>
      </w:rPr>
      <w:t>info@perfchem.us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821" w:rsidRDefault="00AB3821" w:rsidP="009C1345">
      <w:pPr>
        <w:spacing w:after="0" w:line="240" w:lineRule="auto"/>
      </w:pPr>
      <w:r>
        <w:separator/>
      </w:r>
    </w:p>
  </w:footnote>
  <w:footnote w:type="continuationSeparator" w:id="0">
    <w:p w:rsidR="00AB3821" w:rsidRDefault="00AB3821" w:rsidP="009C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410" w:rsidRDefault="00AB3821" w:rsidP="00FB0410">
    <w:pPr>
      <w:jc w:val="right"/>
      <w:rPr>
        <w:rFonts w:eastAsia="Eras Bk BT"/>
        <w:b/>
        <w:bCs/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-122555</wp:posOffset>
          </wp:positionV>
          <wp:extent cx="3371850" cy="894080"/>
          <wp:effectExtent l="0" t="0" r="0" b="0"/>
          <wp:wrapThrough wrapText="bothSides">
            <wp:wrapPolygon edited="0">
              <wp:start x="0" y="0"/>
              <wp:lineTo x="0" y="21170"/>
              <wp:lineTo x="21478" y="21170"/>
              <wp:lineTo x="21478" y="0"/>
              <wp:lineTo x="0" y="0"/>
            </wp:wrapPolygon>
          </wp:wrapThrough>
          <wp:docPr id="2" name="Picture 0" descr="perfchem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erfchem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0410">
      <w:tab/>
    </w:r>
    <w:r w:rsidR="00FB0410" w:rsidRPr="00486EA6">
      <w:rPr>
        <w:rFonts w:eastAsia="Eras Bk BT"/>
        <w:b/>
        <w:bCs/>
        <w:noProof/>
        <w:sz w:val="36"/>
        <w:szCs w:val="36"/>
      </w:rPr>
      <w:drawing>
        <wp:inline distT="0" distB="0" distL="0" distR="0">
          <wp:extent cx="789305" cy="7137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786F" w:rsidRDefault="005F7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92F7A"/>
    <w:multiLevelType w:val="hybridMultilevel"/>
    <w:tmpl w:val="84D43A72"/>
    <w:lvl w:ilvl="0" w:tplc="66568AC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FD9"/>
    <w:rsid w:val="000303AF"/>
    <w:rsid w:val="000F2D13"/>
    <w:rsid w:val="00300E30"/>
    <w:rsid w:val="00311E0C"/>
    <w:rsid w:val="00326BEE"/>
    <w:rsid w:val="003C0E31"/>
    <w:rsid w:val="00424FD9"/>
    <w:rsid w:val="004C49CC"/>
    <w:rsid w:val="004D7D44"/>
    <w:rsid w:val="005C4D89"/>
    <w:rsid w:val="005F786F"/>
    <w:rsid w:val="00664A32"/>
    <w:rsid w:val="00673CE1"/>
    <w:rsid w:val="006A5540"/>
    <w:rsid w:val="006B2BFE"/>
    <w:rsid w:val="006E0CB0"/>
    <w:rsid w:val="00784F5C"/>
    <w:rsid w:val="007928CB"/>
    <w:rsid w:val="008779CC"/>
    <w:rsid w:val="008810B0"/>
    <w:rsid w:val="009C1345"/>
    <w:rsid w:val="00AB3821"/>
    <w:rsid w:val="00AC662E"/>
    <w:rsid w:val="00AF0190"/>
    <w:rsid w:val="00B862AA"/>
    <w:rsid w:val="00C61DB1"/>
    <w:rsid w:val="00CA34B0"/>
    <w:rsid w:val="00D64411"/>
    <w:rsid w:val="00EC51AA"/>
    <w:rsid w:val="00F04548"/>
    <w:rsid w:val="00F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A3D6B"/>
  <w15:docId w15:val="{349D458C-02AA-4286-BBFF-820288B6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D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345"/>
  </w:style>
  <w:style w:type="paragraph" w:styleId="Footer">
    <w:name w:val="footer"/>
    <w:basedOn w:val="Normal"/>
    <w:link w:val="FooterChar"/>
    <w:uiPriority w:val="99"/>
    <w:unhideWhenUsed/>
    <w:rsid w:val="009C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345"/>
  </w:style>
  <w:style w:type="paragraph" w:styleId="BalloonText">
    <w:name w:val="Balloon Text"/>
    <w:basedOn w:val="Normal"/>
    <w:link w:val="BalloonTextChar"/>
    <w:uiPriority w:val="99"/>
    <w:semiHidden/>
    <w:unhideWhenUsed/>
    <w:rsid w:val="009C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3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RASTATION\share\Form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Performance Chemicals LLC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Brock</dc:creator>
  <cp:keywords>5a0d8b54-68e5-4c7a-8fd2-038260811522</cp:keywords>
  <cp:lastModifiedBy>Michael Currier</cp:lastModifiedBy>
  <cp:revision>2</cp:revision>
  <cp:lastPrinted>2017-01-12T19:39:00Z</cp:lastPrinted>
  <dcterms:created xsi:type="dcterms:W3CDTF">2019-02-13T01:15:00Z</dcterms:created>
  <dcterms:modified xsi:type="dcterms:W3CDTF">2019-02-13T01:15:00Z</dcterms:modified>
</cp:coreProperties>
</file>